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BF3C5" w14:textId="7E753B52" w:rsidR="00783682" w:rsidRDefault="008C709C">
      <w:r>
        <w:t xml:space="preserve">Zu den Begleiterscheinungen eines Heiligen Jahres zählt der so genannte Jubiläumsablass, den Gläubige unter bestimmten Bedingungen, die der römische Gerichtshof der Apostolischen </w:t>
      </w:r>
      <w:proofErr w:type="spellStart"/>
      <w:r>
        <w:t>Pönitentiarie</w:t>
      </w:r>
      <w:proofErr w:type="spellEnd"/>
      <w:r>
        <w:t xml:space="preserve"> auch für </w:t>
      </w:r>
      <w:r w:rsidR="005B2204">
        <w:t xml:space="preserve">das heurige Jahr </w:t>
      </w:r>
      <w:r>
        <w:t xml:space="preserve">2025 definiert hat, erlangen können. Für viele Menschen dürfte der Ablass zu jenen Aspekten kirchlicher Lehre gehören, denen sie besonders fremd gegenüberstehen. </w:t>
      </w:r>
      <w:r w:rsidR="005B2204">
        <w:t>Zweifellos</w:t>
      </w:r>
      <w:r>
        <w:t xml:space="preserve"> ist die Geschichte des Ablassinstituts durch </w:t>
      </w:r>
      <w:r w:rsidR="005B2204">
        <w:t>problematische E</w:t>
      </w:r>
      <w:r>
        <w:t>ntwicklungen belastet</w:t>
      </w:r>
      <w:r w:rsidR="005B2204">
        <w:t>:</w:t>
      </w:r>
      <w:r>
        <w:t xml:space="preserve"> Im Mittelalter</w:t>
      </w:r>
      <w:r w:rsidR="005B2204">
        <w:t xml:space="preserve"> und bis weit in die Neuzeit hinein</w:t>
      </w:r>
      <w:r>
        <w:t xml:space="preserve"> </w:t>
      </w:r>
      <w:r w:rsidR="005B2204">
        <w:t>brachte</w:t>
      </w:r>
      <w:r>
        <w:t xml:space="preserve"> sich nicht zuletzt auf diesem Feld </w:t>
      </w:r>
      <w:r w:rsidR="005B2204">
        <w:t>eine Frömmigkeit zur Geltung, die Heil verrechnen zu können meinte.</w:t>
      </w:r>
      <w:r w:rsidR="008B7C3C">
        <w:t xml:space="preserve"> Dabei geht es um den Nachlass zeitlicher Sündenstrafen. Zur </w:t>
      </w:r>
      <w:r w:rsidR="008B7C3C">
        <w:t>Unterscheidung von der ewigen Sündenstrafe des definitiven Heilsverlustes, der sich klassisch an die Vorstellung der Hölle knüpft,</w:t>
      </w:r>
      <w:r w:rsidR="008B7C3C">
        <w:t xml:space="preserve"> sind damit </w:t>
      </w:r>
      <w:r w:rsidR="008B7C3C">
        <w:t>solche Strafen im Diesseits und Jenseits gemeint, die zeitlich begrenzt sind</w:t>
      </w:r>
      <w:r w:rsidR="008B7C3C">
        <w:t xml:space="preserve">. Deren Reduktion durch den Ablass </w:t>
      </w:r>
      <w:r w:rsidR="005B2204">
        <w:t xml:space="preserve">wurde </w:t>
      </w:r>
      <w:r w:rsidR="00B04D02">
        <w:t xml:space="preserve">nun </w:t>
      </w:r>
      <w:r w:rsidR="005B2204">
        <w:t xml:space="preserve">bis ins Kleinste quantifiziert. Die Kirche verstand sich </w:t>
      </w:r>
      <w:r w:rsidR="008B7C3C">
        <w:t xml:space="preserve">dabei </w:t>
      </w:r>
      <w:r w:rsidR="005B2204">
        <w:t>als Verwalterin eines Heilsschatzes, aus dem sie geradezu buchhalterisch den Ablass verteilen konnte</w:t>
      </w:r>
      <w:r w:rsidR="00A77C69">
        <w:t xml:space="preserve">. Sein Erwerb wurde schließlich auch ökonomisch zum Geschäft: Bekanntlich war der Verkauf von Ablassbriefen ein wesentlicher Anstoß für </w:t>
      </w:r>
      <w:r w:rsidR="00D82463">
        <w:t xml:space="preserve">Martin </w:t>
      </w:r>
      <w:r w:rsidR="00A77C69">
        <w:t>Luthers Thesenanschlag in Wittenberg.</w:t>
      </w:r>
      <w:r w:rsidR="00B42B58">
        <w:t xml:space="preserve"> Bis heute stellt das Thema Ablass im ökumenischen Gespräch mit den reformatorischen Kirchen eine Herausforderung dar.</w:t>
      </w:r>
    </w:p>
    <w:p w14:paraId="510E5864" w14:textId="1A1A7432" w:rsidR="00D82463" w:rsidRDefault="00D82463">
      <w:r>
        <w:t xml:space="preserve">Obwohl sich solche problematischen Assoziationen geradezu aufdrängen, lohnt sich der Versuch, zu den Grundintuitionen durchzustoßen, um die es beim Ablass geht. Da ist zunächst die Unterscheidung zwischen einer Vergebung </w:t>
      </w:r>
      <w:r w:rsidR="001937A4">
        <w:t>von</w:t>
      </w:r>
      <w:r>
        <w:t xml:space="preserve"> Schuld, wie sie im Sakrament der Buße erfahren werden kann, und dem Fortbestehen negativer Sündenfolgen. Das entspricht allgemein menschlicher Erfahrung: Im günstigen Fall kann man, wo man Schuld auf sich geladen hat, seitens der Betroffenen das Geschenk der Vergebung e</w:t>
      </w:r>
      <w:r w:rsidR="00630703">
        <w:t>mpfang</w:t>
      </w:r>
      <w:r>
        <w:t xml:space="preserve">en. Damit sind </w:t>
      </w:r>
      <w:r w:rsidR="00237617">
        <w:t xml:space="preserve">aber </w:t>
      </w:r>
      <w:r>
        <w:t xml:space="preserve">die belastenden Konsequenzen, </w:t>
      </w:r>
      <w:r w:rsidR="00237617">
        <w:t>die sich aus dem früheren Verhalten erg</w:t>
      </w:r>
      <w:r w:rsidR="001937A4">
        <w:t>e</w:t>
      </w:r>
      <w:r w:rsidR="00237617">
        <w:t>ben</w:t>
      </w:r>
      <w:r w:rsidR="001937A4">
        <w:t xml:space="preserve"> haben</w:t>
      </w:r>
      <w:r w:rsidR="00237617">
        <w:t xml:space="preserve">, nicht automatisch aufgehoben – und zwar weder jene, unter denen die Geschädigten leiden und für die in Grenzen so etwas wie </w:t>
      </w:r>
      <w:r w:rsidR="00044BA4">
        <w:t>Wiedergutmachung</w:t>
      </w:r>
      <w:r w:rsidR="00237617">
        <w:t xml:space="preserve"> oder Entschädigung möglich sein mag, noch jene, die auf den Verursacher selbst zurückfallen. So sehr Vergebung auch entlasten kann, bleibt an diesem Punkt doch Arbeit jenseits von ihr nötig. Diese Erfahrung greift der Ablass auf.</w:t>
      </w:r>
    </w:p>
    <w:p w14:paraId="6B937378" w14:textId="26081136" w:rsidR="00237617" w:rsidRDefault="00237617">
      <w:r>
        <w:t xml:space="preserve">Gleichzeitig </w:t>
      </w:r>
      <w:r w:rsidR="00E302DE">
        <w:t>unterstreicht</w:t>
      </w:r>
      <w:r>
        <w:t xml:space="preserve"> der Ablass einen zweiten Gedanken, der für die christliche Bußpraxis immer schon von zentraler Bedeutung war</w:t>
      </w:r>
      <w:r w:rsidR="001937A4">
        <w:t>.</w:t>
      </w:r>
      <w:r>
        <w:t xml:space="preserve"> Mit diesem Problem, an den Folgen der Sünde tragen zu müssen, bleibt die </w:t>
      </w:r>
      <w:r w:rsidR="001937A4">
        <w:t>bzw.</w:t>
      </w:r>
      <w:r>
        <w:t xml:space="preserve"> der Einzelne nicht allein</w:t>
      </w:r>
      <w:r w:rsidR="00E668DE">
        <w:t xml:space="preserve">, sondern die Gemeinde begleitet diesen Prozess mit </w:t>
      </w:r>
      <w:proofErr w:type="spellStart"/>
      <w:r w:rsidR="00E668DE">
        <w:t>fürbittendem</w:t>
      </w:r>
      <w:proofErr w:type="spellEnd"/>
      <w:r w:rsidR="00E668DE">
        <w:t xml:space="preserve"> Gebet. Dieser Aspekt spielte schon im altkirchlichen Bußverfahren eine wichtige Rolle: Personen, die sich besonders gravierender Sünden schuldig gemacht hatten, wurden zeitweilig aus der vollen Gemeinschaft der Kirche ausgeschlossen und in einen eigenen Büßerstand versetzt. Ihr Weg zur Wiederversöhnung war nicht nur durch verschiedene Bußübungen geprägt, sondern ebenso sehr durch die solidarische Begleitung der Gemeinde. Im Hintergrund steht der paulinische Gedanke von der Kirche als Leib Christi, in dem die einzelnen Glieder unaufhebbar aufeinander verwiesen sind: „</w:t>
      </w:r>
      <w:r w:rsidR="00E668DE" w:rsidRPr="00E668DE">
        <w:t>Wenn darum ein Glied leidet, leiden alle Glieder mit</w:t>
      </w:r>
      <w:r w:rsidR="00E668DE">
        <w:t xml:space="preserve">“ (1 Kor 12,26). </w:t>
      </w:r>
      <w:r w:rsidR="00B04D02">
        <w:t>Da es sich um den Leib Christi handelt, heißt das zugleich: M</w:t>
      </w:r>
      <w:r w:rsidR="00291211">
        <w:t xml:space="preserve">it und in jedem Glied ist immer Christus involviert. </w:t>
      </w:r>
      <w:r w:rsidR="00E668DE">
        <w:t xml:space="preserve">Diese biblische Basis lässt sich mit der </w:t>
      </w:r>
      <w:r w:rsidR="00277D91">
        <w:t>Deutung vermitteln, die Papst Paul VI. in der Apostolischen Konstitution „</w:t>
      </w:r>
      <w:proofErr w:type="spellStart"/>
      <w:r w:rsidR="00277D91">
        <w:t>Indulgentiarum</w:t>
      </w:r>
      <w:proofErr w:type="spellEnd"/>
      <w:r w:rsidR="00277D91">
        <w:t xml:space="preserve"> </w:t>
      </w:r>
      <w:proofErr w:type="spellStart"/>
      <w:r w:rsidR="00277D91">
        <w:t>doctrina</w:t>
      </w:r>
      <w:proofErr w:type="spellEnd"/>
      <w:r w:rsidR="00277D91">
        <w:t>“, mit der er 1967 das Ablasswesen neu ordnete, dem traditionellen Motiv des „Kirchenschatzes“ angedeihen ließ: „</w:t>
      </w:r>
      <w:r w:rsidR="00291211">
        <w:t>Der Kirchenschatz ist Christus, der Erlöser, selbst“ (Nr. 5).</w:t>
      </w:r>
    </w:p>
    <w:p w14:paraId="24FFFA62" w14:textId="19AA0578" w:rsidR="001937A4" w:rsidRDefault="00291211">
      <w:r>
        <w:t xml:space="preserve">An dieser Stelle </w:t>
      </w:r>
      <w:r w:rsidR="001937A4">
        <w:t>erhebt</w:t>
      </w:r>
      <w:r>
        <w:t xml:space="preserve"> sich </w:t>
      </w:r>
      <w:r w:rsidR="001937A4">
        <w:t xml:space="preserve">freilich </w:t>
      </w:r>
      <w:r>
        <w:t xml:space="preserve">eine Rückfrage: Wenn der Gedanke der Solidarität innerhalb des Leibes Christi so wichtig ist, warum kann man dann einen Ablass für sich selbst oder aber für Verstorbene gewinnen, nicht aber für andere Lebende? Auch hier mag es hilfreich sein, auf die Alltagserfahrung zu verweisen. Die Bewältigung von Folgen </w:t>
      </w:r>
      <w:r w:rsidR="00147808">
        <w:t xml:space="preserve">des eigenen negativen Verhaltens ist nicht ohne ebenso eigene Initiative möglich. Um daran zu arbeiten, muss man sich bewegen. </w:t>
      </w:r>
      <w:r w:rsidR="00147808">
        <w:lastRenderedPageBreak/>
        <w:t xml:space="preserve">Dies führt nun zu einem interessanten Aspekt in der Geschichte der Ablasspraxis: Wie bereits erwähnt, </w:t>
      </w:r>
      <w:r w:rsidR="00E302DE">
        <w:t>war</w:t>
      </w:r>
      <w:r w:rsidR="00147808">
        <w:t xml:space="preserve"> beim altkirchlichen Bußverfahren eine </w:t>
      </w:r>
      <w:r w:rsidR="00E302DE">
        <w:t xml:space="preserve">vorherige </w:t>
      </w:r>
      <w:r w:rsidR="00147808">
        <w:t xml:space="preserve">Zeit der Buße, die aktives Handeln einschloss, </w:t>
      </w:r>
      <w:r w:rsidR="00E302DE">
        <w:t xml:space="preserve">Voraussetzung </w:t>
      </w:r>
      <w:r w:rsidR="00147808">
        <w:t>der Wiederversöhnung. Als später dieses gemeindeöffentliche Bußverfahren durch die Einzelbeichte ersetzt wurde, verschob sich die Abfolge: Die sakramentale Absolution ging nun dem aktiven Tun in Form von Bußauflagen voraus. Damit rückte</w:t>
      </w:r>
      <w:r w:rsidR="0078432E">
        <w:t xml:space="preserve"> auch</w:t>
      </w:r>
      <w:r w:rsidR="00147808">
        <w:t xml:space="preserve"> der Aspekt </w:t>
      </w:r>
      <w:r w:rsidR="0078432E">
        <w:t xml:space="preserve">fortdauernder Sündenfolgen in den Fokus. Sobald man diesen nun im Ablass eigens adressierte, spielte Bewegung im durchaus wörtlichen, äußerlichen Sinn eine zentrale Rolle: Waren zunächst große Wallfahrten oder auch die Teilnahme an Kreuzzügen wichtige Ausdrucksformen der Buße, verband sich der Ablass bald auch mit dem Aufsuchen bestimmter sakraler Orte im näheren Umfeld. Als Urszene </w:t>
      </w:r>
      <w:r w:rsidR="00450DBF">
        <w:t xml:space="preserve">dessen gilt in der Tradition der sogenannte </w:t>
      </w:r>
      <w:proofErr w:type="spellStart"/>
      <w:r w:rsidR="00450DBF">
        <w:t>Portiuncula</w:t>
      </w:r>
      <w:proofErr w:type="spellEnd"/>
      <w:r w:rsidR="00450DBF">
        <w:t>-Ablass, den der Legende nach der heilige Franziskus für jene erbeten hatte, die die von ihm wiederhergestellte gleichnamige Kapelle besuchten. Für das derzeitige Heilige Jahr hat auch die Erzdiözese Salzburg eine Reihe solcher heiligen Orte benannt, die man aufsuchen kann – neben der inneren Bewegung natürlich, die für jede Buße und Umkehr eine notwendige Voraussetzung ist. Man muss sich also selbst bewegen, innerlich wie äußerlich.</w:t>
      </w:r>
    </w:p>
    <w:p w14:paraId="3D0095C1" w14:textId="4B43FDEF" w:rsidR="00783682" w:rsidRDefault="00450DBF">
      <w:r>
        <w:t xml:space="preserve">Wenn der Ablass </w:t>
      </w:r>
      <w:r w:rsidR="001937A4">
        <w:t xml:space="preserve">trotzdem </w:t>
      </w:r>
      <w:r>
        <w:t>auch im Modus der Fürbitte für Verstorbene</w:t>
      </w:r>
      <w:r w:rsidR="00E775A5">
        <w:t xml:space="preserve"> gedacht wird, </w:t>
      </w:r>
      <w:r w:rsidR="001937A4">
        <w:t>macht das deutlich, dass</w:t>
      </w:r>
      <w:r w:rsidR="00E775A5">
        <w:t xml:space="preserve"> die Solidarität innerhalb des Leibes Christi auch jene Glieder</w:t>
      </w:r>
      <w:r w:rsidR="001937A4">
        <w:t xml:space="preserve"> um</w:t>
      </w:r>
      <w:r w:rsidR="00B42B58">
        <w:t>fasst</w:t>
      </w:r>
      <w:r w:rsidR="00E775A5">
        <w:t xml:space="preserve">, die sich selbst nicht mehr bewegen können. Die Zusammengehörigkeit der Glieder am Leib Christi übergreift die Zeit. Während </w:t>
      </w:r>
      <w:r w:rsidR="001937A4">
        <w:t>häufig</w:t>
      </w:r>
      <w:r w:rsidR="00E775A5">
        <w:t xml:space="preserve"> eher das Motiv der Fürbitte durch die Heiligen </w:t>
      </w:r>
      <w:r w:rsidR="001937A4">
        <w:t>im Vordergrund steht</w:t>
      </w:r>
      <w:r w:rsidR="00E775A5">
        <w:t xml:space="preserve">, also durch jene, die uns </w:t>
      </w:r>
      <w:r w:rsidR="001937A4">
        <w:t xml:space="preserve">im Glauben </w:t>
      </w:r>
      <w:r w:rsidR="00E775A5">
        <w:t xml:space="preserve">schon vorausgegangen sind, ist die Richtung beim Ablass sozusagen umgekehrt: Mein Handeln kann auch jene erreichen, die schon verstorben sind und denen </w:t>
      </w:r>
      <w:r w:rsidR="001937A4">
        <w:t xml:space="preserve">es </w:t>
      </w:r>
      <w:r w:rsidR="007B0D32">
        <w:t xml:space="preserve">zu Lebzeiten </w:t>
      </w:r>
      <w:r w:rsidR="001937A4">
        <w:t xml:space="preserve">nicht gelungen sein mag, alle Verwerfungen </w:t>
      </w:r>
      <w:r w:rsidR="007B0D32">
        <w:t>restlos zu beseitigen. Wenn die Tradition hier von den „armen Seelen im Fegfeuer“ sprach, ging es um den eigentlich barmherzigen Gedanken, dass man nicht perfekt sein muss, um in den Himmel, in die ewige Gemeinschaft mit Gott zu gelangen. In der Begegnung mit Christus, dem rettenden Richter, ist auch im Jenseits noch eine Läuterung möglich</w:t>
      </w:r>
      <w:r w:rsidR="003607FD">
        <w:t>.</w:t>
      </w:r>
      <w:r w:rsidR="00B42B58">
        <w:t xml:space="preserve"> Vollendung wird als Prozess gedacht</w:t>
      </w:r>
      <w:r w:rsidR="003607FD">
        <w:t>, den auch der Tod nicht abbricht</w:t>
      </w:r>
      <w:r w:rsidR="00B42B58">
        <w:t>.</w:t>
      </w:r>
      <w:r w:rsidR="007B0D32">
        <w:t xml:space="preserve"> Wir können nicht anders, als uns dies – wie jeden Prozess der Läuterung – schmerzhaft vorzustellen. Der Ablass denkt den Einzelnen auch in dieser Hinsicht nicht isoliert, sondern bleibend in die Solidarität des Leibes Christi eingebunden.</w:t>
      </w:r>
    </w:p>
    <w:p w14:paraId="625906A1" w14:textId="02709A57" w:rsidR="00E775A5" w:rsidRDefault="007B0D32">
      <w:r>
        <w:t xml:space="preserve">So zeigt sich, dass mit dem Ablass durchaus tiefgründige Gedanken und nachvollziehbare Anliegen verbunden sind. </w:t>
      </w:r>
      <w:r w:rsidR="00E775A5">
        <w:t xml:space="preserve">Was aber, wenn </w:t>
      </w:r>
      <w:r w:rsidR="002F350E">
        <w:t xml:space="preserve">einem der </w:t>
      </w:r>
      <w:r w:rsidR="00E775A5">
        <w:t xml:space="preserve">Ablass </w:t>
      </w:r>
      <w:r w:rsidR="002F350E">
        <w:t xml:space="preserve">heute </w:t>
      </w:r>
      <w:r w:rsidR="00E775A5">
        <w:t xml:space="preserve">trotz allem fremd bleibt? </w:t>
      </w:r>
      <w:r w:rsidR="002F350E">
        <w:t>Das muss niemanden beunruhigen. Die Kirche betrachtet ihn nicht als heilsnotwendig. In der schon erwähnten Apostolischen Konstitution „</w:t>
      </w:r>
      <w:proofErr w:type="spellStart"/>
      <w:r w:rsidR="002F350E">
        <w:t>Indulgentiarum</w:t>
      </w:r>
      <w:proofErr w:type="spellEnd"/>
      <w:r w:rsidR="002F350E">
        <w:t xml:space="preserve"> </w:t>
      </w:r>
      <w:proofErr w:type="spellStart"/>
      <w:r w:rsidR="002F350E">
        <w:t>doctrina</w:t>
      </w:r>
      <w:proofErr w:type="spellEnd"/>
      <w:r w:rsidR="002F350E">
        <w:t xml:space="preserve">“ stellt Papst </w:t>
      </w:r>
      <w:r w:rsidR="00E775A5">
        <w:t>Paul VI.</w:t>
      </w:r>
      <w:r w:rsidR="002F350E">
        <w:t xml:space="preserve"> fest: </w:t>
      </w:r>
      <w:r w:rsidR="00E302DE">
        <w:t xml:space="preserve">Die Kirche </w:t>
      </w:r>
      <w:r w:rsidR="002F350E">
        <w:t>„</w:t>
      </w:r>
      <w:r w:rsidR="002F350E" w:rsidRPr="002F350E">
        <w:t>überlässt es jedoch jedem einzelnen, in der heiligen und </w:t>
      </w:r>
      <w:bookmarkStart w:id="0" w:name="rechten_Freiheit"/>
      <w:r w:rsidR="002F350E" w:rsidRPr="002F350E">
        <w:t>rechten Freiheit</w:t>
      </w:r>
      <w:bookmarkEnd w:id="0"/>
      <w:r w:rsidR="002F350E" w:rsidRPr="002F350E">
        <w:t> der Kinder Gottes solche Mittel der Läuterung und der Heiligung zu gebrauchen</w:t>
      </w:r>
      <w:r w:rsidR="002F350E">
        <w:t>“ (</w:t>
      </w:r>
      <w:r w:rsidR="00E775A5">
        <w:t>Nr. 11</w:t>
      </w:r>
      <w:r w:rsidR="002F350E">
        <w:t>).</w:t>
      </w:r>
    </w:p>
    <w:sectPr w:rsidR="00E775A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09C"/>
    <w:rsid w:val="00044BA4"/>
    <w:rsid w:val="00147808"/>
    <w:rsid w:val="001937A4"/>
    <w:rsid w:val="00237617"/>
    <w:rsid w:val="00277D91"/>
    <w:rsid w:val="00291211"/>
    <w:rsid w:val="002F350E"/>
    <w:rsid w:val="0033546A"/>
    <w:rsid w:val="003607FD"/>
    <w:rsid w:val="00450DBF"/>
    <w:rsid w:val="005B2204"/>
    <w:rsid w:val="00630703"/>
    <w:rsid w:val="00650121"/>
    <w:rsid w:val="00736291"/>
    <w:rsid w:val="00783682"/>
    <w:rsid w:val="0078432E"/>
    <w:rsid w:val="007B0D32"/>
    <w:rsid w:val="008B7C3C"/>
    <w:rsid w:val="008C709C"/>
    <w:rsid w:val="00A77C69"/>
    <w:rsid w:val="00B04D02"/>
    <w:rsid w:val="00B42B58"/>
    <w:rsid w:val="00D82463"/>
    <w:rsid w:val="00E302DE"/>
    <w:rsid w:val="00E668DE"/>
    <w:rsid w:val="00E775A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EEDFBF"/>
  <w15:chartTrackingRefBased/>
  <w15:docId w15:val="{7E358C1E-22B0-4849-B619-8F56B0A34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8C70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8C70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8C709C"/>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8C709C"/>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8C709C"/>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8C709C"/>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8C709C"/>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8C709C"/>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8C709C"/>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8C709C"/>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8C709C"/>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8C709C"/>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8C709C"/>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8C709C"/>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8C709C"/>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8C709C"/>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8C709C"/>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8C709C"/>
    <w:rPr>
      <w:rFonts w:eastAsiaTheme="majorEastAsia" w:cstheme="majorBidi"/>
      <w:color w:val="272727" w:themeColor="text1" w:themeTint="D8"/>
    </w:rPr>
  </w:style>
  <w:style w:type="paragraph" w:styleId="Titel">
    <w:name w:val="Title"/>
    <w:basedOn w:val="Standard"/>
    <w:next w:val="Standard"/>
    <w:link w:val="TitelZchn"/>
    <w:uiPriority w:val="10"/>
    <w:qFormat/>
    <w:rsid w:val="008C70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8C709C"/>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8C709C"/>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8C709C"/>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8C709C"/>
    <w:pPr>
      <w:spacing w:before="160"/>
      <w:jc w:val="center"/>
    </w:pPr>
    <w:rPr>
      <w:i/>
      <w:iCs/>
      <w:color w:val="404040" w:themeColor="text1" w:themeTint="BF"/>
    </w:rPr>
  </w:style>
  <w:style w:type="character" w:customStyle="1" w:styleId="ZitatZchn">
    <w:name w:val="Zitat Zchn"/>
    <w:basedOn w:val="Absatz-Standardschriftart"/>
    <w:link w:val="Zitat"/>
    <w:uiPriority w:val="29"/>
    <w:rsid w:val="008C709C"/>
    <w:rPr>
      <w:i/>
      <w:iCs/>
      <w:color w:val="404040" w:themeColor="text1" w:themeTint="BF"/>
    </w:rPr>
  </w:style>
  <w:style w:type="paragraph" w:styleId="Listenabsatz">
    <w:name w:val="List Paragraph"/>
    <w:basedOn w:val="Standard"/>
    <w:uiPriority w:val="34"/>
    <w:qFormat/>
    <w:rsid w:val="008C709C"/>
    <w:pPr>
      <w:ind w:left="720"/>
      <w:contextualSpacing/>
    </w:pPr>
  </w:style>
  <w:style w:type="character" w:styleId="IntensiveHervorhebung">
    <w:name w:val="Intense Emphasis"/>
    <w:basedOn w:val="Absatz-Standardschriftart"/>
    <w:uiPriority w:val="21"/>
    <w:qFormat/>
    <w:rsid w:val="008C709C"/>
    <w:rPr>
      <w:i/>
      <w:iCs/>
      <w:color w:val="0F4761" w:themeColor="accent1" w:themeShade="BF"/>
    </w:rPr>
  </w:style>
  <w:style w:type="paragraph" w:styleId="IntensivesZitat">
    <w:name w:val="Intense Quote"/>
    <w:basedOn w:val="Standard"/>
    <w:next w:val="Standard"/>
    <w:link w:val="IntensivesZitatZchn"/>
    <w:uiPriority w:val="30"/>
    <w:qFormat/>
    <w:rsid w:val="008C70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8C709C"/>
    <w:rPr>
      <w:i/>
      <w:iCs/>
      <w:color w:val="0F4761" w:themeColor="accent1" w:themeShade="BF"/>
    </w:rPr>
  </w:style>
  <w:style w:type="character" w:styleId="IntensiverVerweis">
    <w:name w:val="Intense Reference"/>
    <w:basedOn w:val="Absatz-Standardschriftart"/>
    <w:uiPriority w:val="32"/>
    <w:qFormat/>
    <w:rsid w:val="008C709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994</Words>
  <Characters>6413</Characters>
  <Application>Microsoft Office Word</Application>
  <DocSecurity>0</DocSecurity>
  <Lines>89</Lines>
  <Paragraphs>21</Paragraphs>
  <ScaleCrop>false</ScaleCrop>
  <HeadingPairs>
    <vt:vector size="2" baseType="variant">
      <vt:variant>
        <vt:lpstr>Titel</vt:lpstr>
      </vt:variant>
      <vt:variant>
        <vt:i4>1</vt:i4>
      </vt:variant>
    </vt:vector>
  </HeadingPairs>
  <TitlesOfParts>
    <vt:vector size="1" baseType="lpstr">
      <vt:lpstr/>
    </vt:vector>
  </TitlesOfParts>
  <Company>PLUS</Company>
  <LinksUpToDate>false</LinksUpToDate>
  <CharactersWithSpaces>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Zerfaß Alexander</dc:creator>
  <cp:keywords/>
  <dc:description/>
  <cp:lastModifiedBy>Zerfaß Alexander</cp:lastModifiedBy>
  <cp:revision>8</cp:revision>
  <dcterms:created xsi:type="dcterms:W3CDTF">2025-03-22T17:38:00Z</dcterms:created>
  <dcterms:modified xsi:type="dcterms:W3CDTF">2025-03-25T21:56:00Z</dcterms:modified>
</cp:coreProperties>
</file>